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85" w:rsidRPr="00B94385" w:rsidRDefault="00B94385" w:rsidP="00C739D3">
      <w:pPr>
        <w:jc w:val="both"/>
      </w:pPr>
      <w:r w:rsidRPr="00B94385">
        <w:rPr>
          <w:b/>
          <w:bCs/>
        </w:rPr>
        <w:t xml:space="preserve">Abbreviated Prescribing Information of </w:t>
      </w:r>
      <w:r w:rsidR="00045353">
        <w:rPr>
          <w:b/>
          <w:bCs/>
        </w:rPr>
        <w:t>MENOPUR</w:t>
      </w:r>
    </w:p>
    <w:p w:rsidR="00045353" w:rsidRDefault="00045353" w:rsidP="00B01B3F">
      <w:pPr>
        <w:autoSpaceDE w:val="0"/>
        <w:autoSpaceDN w:val="0"/>
        <w:adjustRightInd w:val="0"/>
        <w:spacing w:after="0" w:line="240" w:lineRule="auto"/>
        <w:rPr>
          <w:b/>
          <w:bCs/>
        </w:rPr>
      </w:pPr>
      <w:r w:rsidRPr="00C22B8F">
        <w:rPr>
          <w:b/>
          <w:bCs/>
        </w:rPr>
        <w:t xml:space="preserve">Indications: </w:t>
      </w:r>
      <w:r w:rsidR="001206E3" w:rsidRPr="00C22B8F">
        <w:rPr>
          <w:b/>
          <w:bCs/>
          <w:i/>
        </w:rPr>
        <w:t>75IU,</w:t>
      </w:r>
      <w:r w:rsidR="001206E3" w:rsidRPr="00C22B8F">
        <w:rPr>
          <w:b/>
          <w:bCs/>
        </w:rPr>
        <w:t xml:space="preserve"> </w:t>
      </w:r>
      <w:r w:rsidRPr="00C22B8F">
        <w:rPr>
          <w:b/>
          <w:bCs/>
          <w:i/>
        </w:rPr>
        <w:t>600 IU &amp; 1200 IU:</w:t>
      </w:r>
      <w:r w:rsidRPr="00C22B8F">
        <w:rPr>
          <w:b/>
          <w:bCs/>
        </w:rPr>
        <w:t xml:space="preserve"> </w:t>
      </w:r>
      <w:r w:rsidRPr="00C22B8F">
        <w:rPr>
          <w:bCs/>
        </w:rPr>
        <w:t>Anovulation including polycystic ovarian disease (PCOD) in women unresponsive to treatment with clomiphene citrate. Controlled ovarian hyperstimulation to induce the development of multiple follicles for assisted reproductive technologies (ART). Stimulation of follicular growth in females with hypo</w:t>
      </w:r>
      <w:r w:rsidR="001E021B" w:rsidRPr="00C22B8F">
        <w:rPr>
          <w:bCs/>
        </w:rPr>
        <w:t xml:space="preserve">- </w:t>
      </w:r>
      <w:r w:rsidRPr="00C22B8F">
        <w:rPr>
          <w:bCs/>
        </w:rPr>
        <w:t xml:space="preserve">or </w:t>
      </w:r>
      <w:proofErr w:type="spellStart"/>
      <w:r w:rsidRPr="00C22B8F">
        <w:rPr>
          <w:bCs/>
        </w:rPr>
        <w:t>normogonadotropic</w:t>
      </w:r>
      <w:proofErr w:type="spellEnd"/>
      <w:r w:rsidRPr="00C22B8F">
        <w:rPr>
          <w:bCs/>
        </w:rPr>
        <w:t xml:space="preserve"> ovarian insufficiency.</w:t>
      </w:r>
      <w:r>
        <w:rPr>
          <w:b/>
          <w:bCs/>
        </w:rPr>
        <w:t xml:space="preserve"> </w:t>
      </w:r>
    </w:p>
    <w:p w:rsidR="001E021B" w:rsidRDefault="00B94385" w:rsidP="00B01B3F">
      <w:pPr>
        <w:autoSpaceDE w:val="0"/>
        <w:autoSpaceDN w:val="0"/>
        <w:adjustRightInd w:val="0"/>
        <w:spacing w:after="0" w:line="240" w:lineRule="auto"/>
      </w:pPr>
      <w:r w:rsidRPr="00B94385">
        <w:rPr>
          <w:b/>
          <w:bCs/>
        </w:rPr>
        <w:t xml:space="preserve">Dosage </w:t>
      </w:r>
      <w:r w:rsidR="00976FFA">
        <w:rPr>
          <w:b/>
          <w:bCs/>
        </w:rPr>
        <w:t>&amp;</w:t>
      </w:r>
      <w:r w:rsidRPr="00B94385">
        <w:rPr>
          <w:b/>
          <w:bCs/>
        </w:rPr>
        <w:t xml:space="preserve"> Administration</w:t>
      </w:r>
      <w:r w:rsidRPr="00B94385">
        <w:t xml:space="preserve">: </w:t>
      </w:r>
      <w:r w:rsidR="00045353" w:rsidRPr="00045353">
        <w:t xml:space="preserve">SC/IM </w:t>
      </w:r>
      <w:r w:rsidR="00045353" w:rsidRPr="00045353">
        <w:rPr>
          <w:b/>
          <w:i/>
        </w:rPr>
        <w:t>Women w</w:t>
      </w:r>
      <w:r w:rsidR="001E021B">
        <w:rPr>
          <w:b/>
          <w:i/>
        </w:rPr>
        <w:t>ith</w:t>
      </w:r>
      <w:r w:rsidR="00045353" w:rsidRPr="00045353">
        <w:rPr>
          <w:b/>
          <w:i/>
        </w:rPr>
        <w:t xml:space="preserve"> anovulation (including PCOD)</w:t>
      </w:r>
      <w:r w:rsidR="00045353" w:rsidRPr="00045353">
        <w:t xml:space="preserve"> Therapy should start w</w:t>
      </w:r>
      <w:r w:rsidR="001E021B">
        <w:t>ith</w:t>
      </w:r>
      <w:r w:rsidR="00045353" w:rsidRPr="00045353">
        <w:t xml:space="preserve">in the initial 7 days of the menstrual cycle. Initially 75-150 IU daily, maintained for at least 7 days. Recommended dose increment: 37.5 IU/adjustment up to 75 IU. Max daily dose: 225 IU. </w:t>
      </w:r>
      <w:r w:rsidR="00045353" w:rsidRPr="00045353">
        <w:rPr>
          <w:b/>
          <w:i/>
        </w:rPr>
        <w:t>Women undergoing controlled ovarian hyperstimulation for multiple follicular development for ART</w:t>
      </w:r>
      <w:r w:rsidR="00045353" w:rsidRPr="00045353">
        <w:t xml:space="preserve"> Therapy should start approx</w:t>
      </w:r>
      <w:r w:rsidR="001E021B">
        <w:t>imately</w:t>
      </w:r>
      <w:r w:rsidR="00045353" w:rsidRPr="00045353">
        <w:t xml:space="preserve"> 2 w</w:t>
      </w:r>
      <w:r w:rsidR="001E021B">
        <w:t>ee</w:t>
      </w:r>
      <w:r w:rsidR="00045353" w:rsidRPr="00045353">
        <w:t>k</w:t>
      </w:r>
      <w:r w:rsidR="001E021B">
        <w:t>s</w:t>
      </w:r>
      <w:r w:rsidR="00045353" w:rsidRPr="00045353">
        <w:t xml:space="preserve"> after the start of agonist treatment. Initial</w:t>
      </w:r>
      <w:bookmarkStart w:id="0" w:name="_GoBack"/>
      <w:bookmarkEnd w:id="0"/>
      <w:r w:rsidR="00045353" w:rsidRPr="00045353">
        <w:t xml:space="preserve">ly 150-225 IU daily for at least 1st 5 days of treatment. Dose adjustment should not exceed &gt;150 IU/adjustment. Max daily dose: 450 IU daily. Max duration: 20 days. </w:t>
      </w:r>
      <w:r w:rsidR="00045353" w:rsidRPr="00045353">
        <w:rPr>
          <w:b/>
          <w:i/>
        </w:rPr>
        <w:t>Women w</w:t>
      </w:r>
      <w:r w:rsidR="001E021B">
        <w:rPr>
          <w:b/>
          <w:i/>
        </w:rPr>
        <w:t>ith</w:t>
      </w:r>
      <w:r w:rsidR="00045353" w:rsidRPr="00045353">
        <w:rPr>
          <w:b/>
          <w:i/>
        </w:rPr>
        <w:t xml:space="preserve"> hypo- or </w:t>
      </w:r>
      <w:proofErr w:type="spellStart"/>
      <w:r w:rsidR="00045353" w:rsidRPr="00045353">
        <w:rPr>
          <w:b/>
          <w:i/>
        </w:rPr>
        <w:t>normogonadotropic</w:t>
      </w:r>
      <w:proofErr w:type="spellEnd"/>
      <w:r w:rsidR="00045353" w:rsidRPr="00045353">
        <w:rPr>
          <w:b/>
          <w:i/>
        </w:rPr>
        <w:t xml:space="preserve"> ovarian insufficiency</w:t>
      </w:r>
      <w:r w:rsidR="00045353" w:rsidRPr="00045353">
        <w:t xml:space="preserve"> Initially 75-150 IU/day. Dose may be increased gradually until there is evidence of </w:t>
      </w:r>
      <w:proofErr w:type="spellStart"/>
      <w:r w:rsidR="00045353" w:rsidRPr="00045353">
        <w:t>estradiol</w:t>
      </w:r>
      <w:proofErr w:type="spellEnd"/>
      <w:r w:rsidR="00045353" w:rsidRPr="00045353">
        <w:t xml:space="preserve"> secretion or follicular growth. Maintain dose until pre-ovulation </w:t>
      </w:r>
      <w:proofErr w:type="spellStart"/>
      <w:r w:rsidR="00045353" w:rsidRPr="00045353">
        <w:t>estradiol</w:t>
      </w:r>
      <w:proofErr w:type="spellEnd"/>
      <w:r w:rsidR="00045353" w:rsidRPr="00045353">
        <w:t xml:space="preserve"> serum level</w:t>
      </w:r>
      <w:r w:rsidR="001E021B">
        <w:t xml:space="preserve"> is</w:t>
      </w:r>
      <w:r w:rsidR="00045353" w:rsidRPr="00045353">
        <w:t xml:space="preserve"> achieved. To induce ovulation, administer 5,000-10,000 IU </w:t>
      </w:r>
      <w:proofErr w:type="spellStart"/>
      <w:r w:rsidR="00045353" w:rsidRPr="00045353">
        <w:t>hCG</w:t>
      </w:r>
      <w:proofErr w:type="spellEnd"/>
      <w:r w:rsidR="00045353" w:rsidRPr="00045353">
        <w:t xml:space="preserve"> via IM inj</w:t>
      </w:r>
      <w:r w:rsidR="001E021B">
        <w:t>ection</w:t>
      </w:r>
      <w:r w:rsidR="00045353" w:rsidRPr="00045353">
        <w:t xml:space="preserve"> 1-2 days after the last dose of HMG. </w:t>
      </w:r>
    </w:p>
    <w:p w:rsidR="00D20C92" w:rsidRDefault="00B94385" w:rsidP="00B01B3F">
      <w:pPr>
        <w:autoSpaceDE w:val="0"/>
        <w:autoSpaceDN w:val="0"/>
        <w:adjustRightInd w:val="0"/>
        <w:spacing w:after="0" w:line="240" w:lineRule="auto"/>
      </w:pPr>
      <w:r w:rsidRPr="00B94385">
        <w:rPr>
          <w:b/>
          <w:bCs/>
        </w:rPr>
        <w:t>Contraindications</w:t>
      </w:r>
      <w:r w:rsidRPr="00B94385">
        <w:t xml:space="preserve">: </w:t>
      </w:r>
      <w:r w:rsidR="00045353" w:rsidRPr="00045353">
        <w:t>Hypersensitivity</w:t>
      </w:r>
      <w:r w:rsidR="001E021B">
        <w:t xml:space="preserve"> to the active ingredient or any </w:t>
      </w:r>
      <w:r w:rsidR="004E3F2D">
        <w:t xml:space="preserve">of the </w:t>
      </w:r>
      <w:r w:rsidR="001E021B">
        <w:t>excipient</w:t>
      </w:r>
      <w:r w:rsidR="004E3F2D">
        <w:t xml:space="preserve">s; </w:t>
      </w:r>
      <w:r w:rsidR="00045353" w:rsidRPr="00045353">
        <w:t>Pituitary or hypothalamic tumours</w:t>
      </w:r>
      <w:r w:rsidR="004E3F2D">
        <w:t>;</w:t>
      </w:r>
      <w:r w:rsidR="00045353" w:rsidRPr="00045353">
        <w:t xml:space="preserve"> Ovarian, uterine or mammary carcinoma</w:t>
      </w:r>
      <w:r w:rsidR="004E3F2D">
        <w:t>;</w:t>
      </w:r>
      <w:r w:rsidR="00045353" w:rsidRPr="00045353">
        <w:t xml:space="preserve"> </w:t>
      </w:r>
      <w:r w:rsidR="001E021B">
        <w:t>G</w:t>
      </w:r>
      <w:r w:rsidR="00045353" w:rsidRPr="00045353">
        <w:t>ynaecological haemorrhage of unknown aetiology</w:t>
      </w:r>
      <w:r w:rsidR="004E3F2D">
        <w:t>;</w:t>
      </w:r>
      <w:r w:rsidR="00045353" w:rsidRPr="00045353">
        <w:t xml:space="preserve"> </w:t>
      </w:r>
      <w:r w:rsidR="001E021B">
        <w:t>O</w:t>
      </w:r>
      <w:r w:rsidR="00045353" w:rsidRPr="00045353">
        <w:t>varian cysts or enlarged ovaries not due to PCOD</w:t>
      </w:r>
      <w:r w:rsidR="004E3F2D">
        <w:t>;</w:t>
      </w:r>
      <w:r w:rsidR="00045353" w:rsidRPr="00045353">
        <w:t xml:space="preserve"> Primary ovarian failure</w:t>
      </w:r>
      <w:r w:rsidR="001E021B">
        <w:t>,</w:t>
      </w:r>
      <w:r w:rsidR="00045353" w:rsidRPr="00045353">
        <w:t xml:space="preserve"> malformation of sexual organs or fibroid tumours of the uterus incompatible w</w:t>
      </w:r>
      <w:r w:rsidR="001E021B">
        <w:t>ith</w:t>
      </w:r>
      <w:r w:rsidR="00045353" w:rsidRPr="00045353">
        <w:t xml:space="preserve"> pregnancy</w:t>
      </w:r>
      <w:r w:rsidR="004E3F2D">
        <w:t>;</w:t>
      </w:r>
      <w:r w:rsidR="00045353" w:rsidRPr="00045353">
        <w:t xml:space="preserve"> Pregnancy </w:t>
      </w:r>
      <w:r w:rsidR="004E3F2D">
        <w:t>and</w:t>
      </w:r>
      <w:r w:rsidR="00045353" w:rsidRPr="00045353">
        <w:t xml:space="preserve"> lactation.</w:t>
      </w:r>
    </w:p>
    <w:p w:rsidR="007E0CEC" w:rsidRDefault="00D537C6" w:rsidP="007E0CEC">
      <w:pPr>
        <w:autoSpaceDE w:val="0"/>
        <w:autoSpaceDN w:val="0"/>
        <w:adjustRightInd w:val="0"/>
        <w:spacing w:after="0" w:line="240" w:lineRule="auto"/>
        <w:rPr>
          <w:b/>
        </w:rPr>
      </w:pPr>
      <w:r w:rsidRPr="003A434E">
        <w:rPr>
          <w:b/>
          <w:bCs/>
        </w:rPr>
        <w:t>Warnings and Precautions</w:t>
      </w:r>
      <w:r w:rsidRPr="003A434E">
        <w:t>:</w:t>
      </w:r>
      <w:r w:rsidR="0064795D">
        <w:t xml:space="preserve"> </w:t>
      </w:r>
      <w:r w:rsidR="00045353" w:rsidRPr="00045353">
        <w:t xml:space="preserve">Assess fertility </w:t>
      </w:r>
      <w:r w:rsidR="004E3F2D">
        <w:t>and</w:t>
      </w:r>
      <w:r w:rsidR="00045353" w:rsidRPr="00045353">
        <w:t xml:space="preserve"> evaluate for hypothyroidism, adrenocortical deficiency, hyperprolactinemia</w:t>
      </w:r>
      <w:r w:rsidR="001557C4">
        <w:t>,</w:t>
      </w:r>
      <w:r w:rsidR="00045353" w:rsidRPr="00045353">
        <w:t xml:space="preserve"> pituitary or hypothalamic tumours prior to treatment</w:t>
      </w:r>
      <w:r w:rsidR="004E3F2D">
        <w:t>;</w:t>
      </w:r>
      <w:r w:rsidR="00045353" w:rsidRPr="00045353">
        <w:t xml:space="preserve"> </w:t>
      </w:r>
      <w:r w:rsidR="007E0CEC">
        <w:t xml:space="preserve">In cases of ovarian hyperstimulation, withhold </w:t>
      </w:r>
      <w:proofErr w:type="spellStart"/>
      <w:r w:rsidR="007E0CEC">
        <w:t>hCG</w:t>
      </w:r>
      <w:proofErr w:type="spellEnd"/>
      <w:r w:rsidR="007E0CEC">
        <w:t xml:space="preserve"> and refrain from coitus or use barrier methods for at least 4 days</w:t>
      </w:r>
      <w:r w:rsidR="004E3F2D">
        <w:t>;</w:t>
      </w:r>
      <w:r w:rsidR="007E0CEC">
        <w:t xml:space="preserve"> </w:t>
      </w:r>
      <w:r w:rsidR="004E3F2D">
        <w:t>To follow p</w:t>
      </w:r>
      <w:r w:rsidR="007E0CEC">
        <w:t xml:space="preserve">atients for at least 2 weeks after </w:t>
      </w:r>
      <w:proofErr w:type="spellStart"/>
      <w:r w:rsidR="007E0CEC">
        <w:t>hCG</w:t>
      </w:r>
      <w:proofErr w:type="spellEnd"/>
      <w:r w:rsidR="007E0CEC">
        <w:t xml:space="preserve"> administration</w:t>
      </w:r>
      <w:r w:rsidR="004E3F2D">
        <w:t>;</w:t>
      </w:r>
      <w:r w:rsidR="007E0CEC">
        <w:t xml:space="preserve"> </w:t>
      </w:r>
      <w:r w:rsidR="00045353" w:rsidRPr="00045353">
        <w:t>If severe ovarian hyperstimulation syndrome (OHSS) occurs, gonadotropin treatment should be stopped (especially in patients w</w:t>
      </w:r>
      <w:r w:rsidR="001E021B">
        <w:t>ith</w:t>
      </w:r>
      <w:r w:rsidR="00045353" w:rsidRPr="00045353">
        <w:t xml:space="preserve"> PCOD)</w:t>
      </w:r>
      <w:r w:rsidR="004E3F2D">
        <w:t>;</w:t>
      </w:r>
      <w:r w:rsidR="00045353" w:rsidRPr="00045353">
        <w:t xml:space="preserve"> Potential risk of multiple pregnancy, pregnancy wastage (miscarriage or abortion), ectopic pregnancy, reproductive system neoplasms, congenital malformation </w:t>
      </w:r>
      <w:r w:rsidR="004E3F2D">
        <w:t>and</w:t>
      </w:r>
      <w:r w:rsidR="00045353" w:rsidRPr="00045353">
        <w:t xml:space="preserve"> thromboembolic events.</w:t>
      </w:r>
      <w:r w:rsidR="007E0CEC" w:rsidRPr="007E0CEC">
        <w:rPr>
          <w:b/>
        </w:rPr>
        <w:t xml:space="preserve"> </w:t>
      </w:r>
    </w:p>
    <w:p w:rsidR="00D20C92" w:rsidRDefault="00B94385" w:rsidP="00B01B3F">
      <w:pPr>
        <w:autoSpaceDE w:val="0"/>
        <w:autoSpaceDN w:val="0"/>
        <w:adjustRightInd w:val="0"/>
        <w:spacing w:after="0" w:line="240" w:lineRule="auto"/>
      </w:pPr>
      <w:r w:rsidRPr="00B94385">
        <w:rPr>
          <w:b/>
          <w:bCs/>
        </w:rPr>
        <w:t>Undesirable Effects</w:t>
      </w:r>
      <w:r w:rsidRPr="00B94385">
        <w:t>:</w:t>
      </w:r>
      <w:r w:rsidR="00D70802">
        <w:t xml:space="preserve"> </w:t>
      </w:r>
      <w:r w:rsidR="004E3F2D">
        <w:t>Common (</w:t>
      </w:r>
      <w:r w:rsidR="004E3F2D">
        <w:rPr>
          <w:rFonts w:cstheme="minorHAnsi"/>
        </w:rPr>
        <w:t>≥</w:t>
      </w:r>
      <w:r w:rsidR="004E3F2D">
        <w:t xml:space="preserve">1/100 to </w:t>
      </w:r>
      <w:r w:rsidR="004E3F2D">
        <w:rPr>
          <w:rFonts w:cstheme="minorHAnsi"/>
        </w:rPr>
        <w:t>&lt;</w:t>
      </w:r>
      <w:r w:rsidR="004E3F2D">
        <w:t xml:space="preserve">1/10): </w:t>
      </w:r>
      <w:r w:rsidR="00045353" w:rsidRPr="00045353">
        <w:t xml:space="preserve">Abdominal pain </w:t>
      </w:r>
      <w:r w:rsidR="004E3F2D">
        <w:t>and</w:t>
      </w:r>
      <w:r w:rsidR="00045353" w:rsidRPr="00045353">
        <w:t xml:space="preserve"> distension, nausea</w:t>
      </w:r>
      <w:r w:rsidR="004E3F2D">
        <w:t>,</w:t>
      </w:r>
      <w:r w:rsidR="00045353" w:rsidRPr="00045353">
        <w:t xml:space="preserve"> inj</w:t>
      </w:r>
      <w:r w:rsidR="008F53A1">
        <w:t>ection</w:t>
      </w:r>
      <w:r w:rsidR="00045353" w:rsidRPr="00045353">
        <w:t xml:space="preserve"> site reactions</w:t>
      </w:r>
      <w:r w:rsidR="004E3F2D">
        <w:t>,</w:t>
      </w:r>
      <w:r w:rsidR="00045353" w:rsidRPr="00045353">
        <w:t xml:space="preserve"> headache</w:t>
      </w:r>
      <w:r w:rsidR="004E3F2D">
        <w:t>,</w:t>
      </w:r>
      <w:r w:rsidR="00045353" w:rsidRPr="00045353">
        <w:t xml:space="preserve"> OHSS, pelvic pain.</w:t>
      </w:r>
    </w:p>
    <w:p w:rsidR="00045353" w:rsidRDefault="00045353" w:rsidP="00B01B3F">
      <w:pPr>
        <w:autoSpaceDE w:val="0"/>
        <w:autoSpaceDN w:val="0"/>
        <w:adjustRightInd w:val="0"/>
        <w:spacing w:after="0" w:line="240" w:lineRule="auto"/>
      </w:pPr>
    </w:p>
    <w:p w:rsidR="005D5378" w:rsidRPr="0058666A" w:rsidRDefault="00B94385" w:rsidP="00C739D3">
      <w:pPr>
        <w:jc w:val="both"/>
      </w:pPr>
      <w:r w:rsidRPr="0058666A">
        <w:rPr>
          <w:iCs/>
        </w:rPr>
        <w:t>Full Prescribing Information available upon request</w:t>
      </w:r>
      <w:r w:rsidR="00903CAC">
        <w:rPr>
          <w:iCs/>
        </w:rPr>
        <w:t>.</w:t>
      </w:r>
    </w:p>
    <w:sectPr w:rsidR="005D5378" w:rsidRPr="0058666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4AF" w:rsidRDefault="003524AF" w:rsidP="0088421D">
      <w:pPr>
        <w:spacing w:after="0" w:line="240" w:lineRule="auto"/>
      </w:pPr>
      <w:r>
        <w:separator/>
      </w:r>
    </w:p>
  </w:endnote>
  <w:endnote w:type="continuationSeparator" w:id="0">
    <w:p w:rsidR="003524AF" w:rsidRDefault="003524AF" w:rsidP="00884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4AF" w:rsidRDefault="003524AF" w:rsidP="0088421D">
      <w:pPr>
        <w:spacing w:after="0" w:line="240" w:lineRule="auto"/>
      </w:pPr>
      <w:r>
        <w:separator/>
      </w:r>
    </w:p>
  </w:footnote>
  <w:footnote w:type="continuationSeparator" w:id="0">
    <w:p w:rsidR="003524AF" w:rsidRDefault="003524AF" w:rsidP="00884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85"/>
    <w:rsid w:val="00045353"/>
    <w:rsid w:val="00070503"/>
    <w:rsid w:val="0007418D"/>
    <w:rsid w:val="000B4324"/>
    <w:rsid w:val="000D3056"/>
    <w:rsid w:val="001206E3"/>
    <w:rsid w:val="001449A2"/>
    <w:rsid w:val="001557C4"/>
    <w:rsid w:val="001C3F25"/>
    <w:rsid w:val="001E021B"/>
    <w:rsid w:val="002075AF"/>
    <w:rsid w:val="00256930"/>
    <w:rsid w:val="00264C20"/>
    <w:rsid w:val="002E288A"/>
    <w:rsid w:val="00303410"/>
    <w:rsid w:val="003524AF"/>
    <w:rsid w:val="003A434E"/>
    <w:rsid w:val="004E3F2D"/>
    <w:rsid w:val="00554AB5"/>
    <w:rsid w:val="0058666A"/>
    <w:rsid w:val="005B4169"/>
    <w:rsid w:val="005D5378"/>
    <w:rsid w:val="0064795D"/>
    <w:rsid w:val="0077170A"/>
    <w:rsid w:val="007860A5"/>
    <w:rsid w:val="007E0CEC"/>
    <w:rsid w:val="0088421D"/>
    <w:rsid w:val="008F53A1"/>
    <w:rsid w:val="00903CAC"/>
    <w:rsid w:val="00976FFA"/>
    <w:rsid w:val="009843E3"/>
    <w:rsid w:val="009B20C8"/>
    <w:rsid w:val="009D44D4"/>
    <w:rsid w:val="00A32716"/>
    <w:rsid w:val="00A54486"/>
    <w:rsid w:val="00B01B3F"/>
    <w:rsid w:val="00B5568F"/>
    <w:rsid w:val="00B94385"/>
    <w:rsid w:val="00C12233"/>
    <w:rsid w:val="00C22B8F"/>
    <w:rsid w:val="00C723A6"/>
    <w:rsid w:val="00C739D3"/>
    <w:rsid w:val="00CC4ED3"/>
    <w:rsid w:val="00D20C92"/>
    <w:rsid w:val="00D27132"/>
    <w:rsid w:val="00D537C6"/>
    <w:rsid w:val="00D645EC"/>
    <w:rsid w:val="00D70802"/>
    <w:rsid w:val="00E148CC"/>
    <w:rsid w:val="00E556CE"/>
    <w:rsid w:val="00ED7CF9"/>
    <w:rsid w:val="00EE0D77"/>
    <w:rsid w:val="00F511F2"/>
    <w:rsid w:val="00FA45AF"/>
    <w:rsid w:val="00FD74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23491-6A4F-4DCB-98FC-FBD5589B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6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66A"/>
    <w:rPr>
      <w:rFonts w:ascii="Tahoma" w:hAnsi="Tahoma" w:cs="Tahoma"/>
      <w:sz w:val="16"/>
      <w:szCs w:val="16"/>
    </w:rPr>
  </w:style>
  <w:style w:type="paragraph" w:styleId="Header">
    <w:name w:val="header"/>
    <w:basedOn w:val="Normal"/>
    <w:link w:val="HeaderChar"/>
    <w:uiPriority w:val="99"/>
    <w:unhideWhenUsed/>
    <w:rsid w:val="008842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21D"/>
  </w:style>
  <w:style w:type="paragraph" w:styleId="Footer">
    <w:name w:val="footer"/>
    <w:basedOn w:val="Normal"/>
    <w:link w:val="FooterChar"/>
    <w:uiPriority w:val="99"/>
    <w:unhideWhenUsed/>
    <w:rsid w:val="00884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0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Ferring Group</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Kristel</dc:creator>
  <cp:lastModifiedBy>Lim, Sok Bee</cp:lastModifiedBy>
  <cp:revision>4</cp:revision>
  <dcterms:created xsi:type="dcterms:W3CDTF">2020-08-03T01:56:00Z</dcterms:created>
  <dcterms:modified xsi:type="dcterms:W3CDTF">2021-04-15T06:12:00Z</dcterms:modified>
</cp:coreProperties>
</file>